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7FE" w:rsidRPr="00FD69C7" w:rsidRDefault="001277FE" w:rsidP="001277FE">
      <w:pPr>
        <w:jc w:val="center"/>
        <w:rPr>
          <w:rFonts w:ascii="Arial" w:hAnsi="Arial" w:cs="Arial"/>
          <w:b/>
          <w:bCs/>
          <w:color w:val="131313"/>
          <w:sz w:val="32"/>
          <w:szCs w:val="32"/>
        </w:rPr>
      </w:pPr>
      <w:r w:rsidRPr="00FD69C7">
        <w:rPr>
          <w:rFonts w:ascii="Arial" w:hAnsi="Arial" w:cs="Arial"/>
          <w:b/>
          <w:bCs/>
          <w:color w:val="131313"/>
          <w:sz w:val="32"/>
          <w:szCs w:val="32"/>
        </w:rPr>
        <w:t>CHECKLIST OF AUDIT ENGAGEMENT REVIEW</w:t>
      </w:r>
    </w:p>
    <w:p w:rsidR="001277FE" w:rsidRPr="002E74AE" w:rsidRDefault="001277FE" w:rsidP="001277FE">
      <w:pPr>
        <w:ind w:left="720"/>
        <w:rPr>
          <w:rFonts w:ascii="Arial" w:hAnsi="Arial" w:cs="Arial"/>
          <w:b/>
          <w:bCs/>
          <w:color w:val="131313"/>
          <w:sz w:val="20"/>
          <w:szCs w:val="20"/>
        </w:rPr>
      </w:pPr>
    </w:p>
    <w:p w:rsidR="001277FE" w:rsidRPr="002E74AE" w:rsidRDefault="001277FE" w:rsidP="001277FE">
      <w:pPr>
        <w:ind w:left="720"/>
        <w:rPr>
          <w:rFonts w:ascii="Arial" w:hAnsi="Arial" w:cs="Arial"/>
          <w:b/>
          <w:bCs/>
          <w:color w:val="131313"/>
          <w:sz w:val="20"/>
          <w:szCs w:val="20"/>
        </w:rPr>
      </w:pPr>
    </w:p>
    <w:p w:rsidR="001277FE" w:rsidRPr="002E74AE" w:rsidRDefault="001277FE" w:rsidP="001277FE">
      <w:pPr>
        <w:ind w:left="720"/>
        <w:rPr>
          <w:rFonts w:ascii="Arial" w:hAnsi="Arial" w:cs="Arial"/>
          <w:b/>
          <w:bCs/>
          <w:color w:val="131313"/>
          <w:sz w:val="20"/>
          <w:szCs w:val="20"/>
        </w:rPr>
      </w:pPr>
    </w:p>
    <w:p w:rsidR="001277FE" w:rsidRPr="002E74AE" w:rsidRDefault="001277FE" w:rsidP="001277FE">
      <w:pPr>
        <w:ind w:left="720"/>
        <w:rPr>
          <w:rFonts w:ascii="Arial" w:hAnsi="Arial" w:cs="Arial"/>
          <w:b/>
          <w:bCs/>
          <w:color w:val="131313"/>
          <w:sz w:val="20"/>
          <w:szCs w:val="20"/>
        </w:rPr>
      </w:pPr>
      <w:r w:rsidRPr="002E74AE">
        <w:rPr>
          <w:rFonts w:ascii="Arial" w:hAnsi="Arial" w:cs="Arial"/>
          <w:b/>
          <w:bCs/>
          <w:noProof/>
          <w:color w:val="131313"/>
          <w:sz w:val="20"/>
          <w:szCs w:val="20"/>
        </w:rPr>
        <w:drawing>
          <wp:anchor distT="0" distB="0" distL="114300" distR="114300" simplePos="0" relativeHeight="251659264" behindDoc="0" locked="0" layoutInCell="1" allowOverlap="1" wp14:anchorId="5E63836F" wp14:editId="2AB62778">
            <wp:simplePos x="0" y="0"/>
            <wp:positionH relativeFrom="column">
              <wp:posOffset>1571625</wp:posOffset>
            </wp:positionH>
            <wp:positionV relativeFrom="page">
              <wp:posOffset>2374265</wp:posOffset>
            </wp:positionV>
            <wp:extent cx="2686050" cy="2486025"/>
            <wp:effectExtent l="0" t="0" r="0" b="9525"/>
            <wp:wrapSquare wrapText="bothSides"/>
            <wp:docPr id="4" name="Picture 4" descr="C:\Users\rezaali\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zaali\Downloads\downloa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6050"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277FE" w:rsidRDefault="001277FE" w:rsidP="001277FE">
      <w:pPr>
        <w:ind w:left="720"/>
        <w:rPr>
          <w:rFonts w:ascii="Arial" w:hAnsi="Arial" w:cs="Arial"/>
          <w:b/>
          <w:bCs/>
          <w:color w:val="131313"/>
          <w:sz w:val="20"/>
          <w:szCs w:val="20"/>
        </w:rPr>
      </w:pPr>
    </w:p>
    <w:p w:rsidR="001277FE" w:rsidRDefault="001277FE" w:rsidP="001277FE">
      <w:pPr>
        <w:ind w:left="720"/>
        <w:rPr>
          <w:rFonts w:ascii="Arial" w:hAnsi="Arial" w:cs="Arial"/>
          <w:b/>
          <w:bCs/>
          <w:color w:val="131313"/>
          <w:sz w:val="20"/>
          <w:szCs w:val="20"/>
        </w:rPr>
      </w:pPr>
    </w:p>
    <w:p w:rsidR="001277FE" w:rsidRDefault="001277FE" w:rsidP="001277FE">
      <w:pPr>
        <w:ind w:left="720"/>
        <w:rPr>
          <w:rFonts w:ascii="Arial" w:hAnsi="Arial" w:cs="Arial"/>
          <w:b/>
          <w:bCs/>
          <w:color w:val="131313"/>
          <w:sz w:val="20"/>
          <w:szCs w:val="20"/>
        </w:rPr>
      </w:pPr>
    </w:p>
    <w:p w:rsidR="001277FE" w:rsidRDefault="001277FE" w:rsidP="001277FE">
      <w:pPr>
        <w:ind w:left="720"/>
        <w:rPr>
          <w:rFonts w:ascii="Arial" w:hAnsi="Arial" w:cs="Arial"/>
          <w:b/>
          <w:bCs/>
          <w:color w:val="131313"/>
          <w:sz w:val="20"/>
          <w:szCs w:val="20"/>
        </w:rPr>
      </w:pPr>
    </w:p>
    <w:p w:rsidR="001277FE" w:rsidRDefault="001277FE" w:rsidP="001277FE">
      <w:pPr>
        <w:ind w:left="720"/>
        <w:rPr>
          <w:rFonts w:ascii="Arial" w:hAnsi="Arial" w:cs="Arial"/>
          <w:b/>
          <w:bCs/>
          <w:color w:val="131313"/>
          <w:sz w:val="20"/>
          <w:szCs w:val="20"/>
        </w:rPr>
      </w:pPr>
    </w:p>
    <w:p w:rsidR="001277FE" w:rsidRDefault="001277FE" w:rsidP="001277FE">
      <w:pPr>
        <w:ind w:left="720"/>
        <w:rPr>
          <w:rFonts w:ascii="Arial" w:hAnsi="Arial" w:cs="Arial"/>
          <w:b/>
          <w:bCs/>
          <w:color w:val="131313"/>
          <w:sz w:val="20"/>
          <w:szCs w:val="20"/>
        </w:rPr>
      </w:pPr>
    </w:p>
    <w:p w:rsidR="001277FE" w:rsidRDefault="001277FE" w:rsidP="001277FE">
      <w:pPr>
        <w:ind w:left="720"/>
        <w:rPr>
          <w:rFonts w:ascii="Arial" w:hAnsi="Arial" w:cs="Arial"/>
          <w:b/>
          <w:bCs/>
          <w:color w:val="131313"/>
          <w:sz w:val="20"/>
          <w:szCs w:val="20"/>
        </w:rPr>
      </w:pPr>
    </w:p>
    <w:p w:rsidR="001277FE" w:rsidRDefault="001277FE" w:rsidP="001277FE">
      <w:pPr>
        <w:ind w:left="720"/>
        <w:rPr>
          <w:rFonts w:ascii="Arial" w:hAnsi="Arial" w:cs="Arial"/>
          <w:b/>
          <w:bCs/>
          <w:color w:val="131313"/>
          <w:sz w:val="20"/>
          <w:szCs w:val="20"/>
        </w:rPr>
      </w:pPr>
    </w:p>
    <w:p w:rsidR="001277FE" w:rsidRPr="00470588" w:rsidRDefault="001277FE" w:rsidP="001277FE">
      <w:pPr>
        <w:ind w:left="720"/>
        <w:rPr>
          <w:rFonts w:ascii="Arial" w:hAnsi="Arial" w:cs="Arial"/>
          <w:b/>
          <w:bCs/>
          <w:color w:val="131313"/>
          <w:sz w:val="2"/>
          <w:szCs w:val="2"/>
        </w:rPr>
      </w:pPr>
    </w:p>
    <w:p w:rsidR="001277FE" w:rsidRDefault="001277FE" w:rsidP="001277FE">
      <w:pPr>
        <w:spacing w:after="0" w:line="240" w:lineRule="auto"/>
        <w:jc w:val="both"/>
        <w:rPr>
          <w:rFonts w:asciiTheme="minorBidi" w:hAnsiTheme="minorBidi"/>
          <w:b/>
          <w:bCs/>
          <w:i/>
          <w:iCs/>
          <w:u w:val="single"/>
          <w:bdr w:val="none" w:sz="0" w:space="0" w:color="auto" w:frame="1"/>
        </w:rPr>
      </w:pPr>
    </w:p>
    <w:p w:rsidR="001277FE" w:rsidRDefault="001277FE" w:rsidP="001277FE">
      <w:pPr>
        <w:spacing w:after="0" w:line="240" w:lineRule="auto"/>
        <w:jc w:val="both"/>
        <w:rPr>
          <w:rFonts w:asciiTheme="minorBidi" w:hAnsiTheme="minorBidi"/>
          <w:b/>
          <w:bCs/>
          <w:i/>
          <w:iCs/>
          <w:u w:val="single"/>
          <w:bdr w:val="none" w:sz="0" w:space="0" w:color="auto" w:frame="1"/>
        </w:rPr>
      </w:pPr>
    </w:p>
    <w:p w:rsidR="001277FE" w:rsidRDefault="001277FE" w:rsidP="001277FE">
      <w:pPr>
        <w:spacing w:after="0" w:line="240" w:lineRule="auto"/>
        <w:jc w:val="both"/>
        <w:rPr>
          <w:rFonts w:asciiTheme="minorBidi" w:hAnsiTheme="minorBidi"/>
          <w:b/>
          <w:bCs/>
          <w:i/>
          <w:iCs/>
          <w:u w:val="single"/>
          <w:bdr w:val="none" w:sz="0" w:space="0" w:color="auto" w:frame="1"/>
        </w:rPr>
      </w:pPr>
    </w:p>
    <w:p w:rsidR="001277FE" w:rsidRDefault="001277FE" w:rsidP="001277FE">
      <w:pPr>
        <w:spacing w:after="0" w:line="240" w:lineRule="auto"/>
        <w:jc w:val="both"/>
        <w:rPr>
          <w:rFonts w:asciiTheme="minorBidi" w:hAnsiTheme="minorBidi"/>
          <w:b/>
          <w:bCs/>
          <w:i/>
          <w:iCs/>
          <w:u w:val="single"/>
          <w:bdr w:val="none" w:sz="0" w:space="0" w:color="auto" w:frame="1"/>
        </w:rPr>
      </w:pPr>
    </w:p>
    <w:p w:rsidR="001277FE" w:rsidRDefault="001277FE" w:rsidP="001277FE">
      <w:pPr>
        <w:spacing w:after="0" w:line="240" w:lineRule="auto"/>
        <w:jc w:val="both"/>
        <w:rPr>
          <w:rFonts w:asciiTheme="minorBidi" w:hAnsiTheme="minorBidi"/>
          <w:b/>
          <w:bCs/>
          <w:i/>
          <w:iCs/>
          <w:u w:val="single"/>
          <w:bdr w:val="none" w:sz="0" w:space="0" w:color="auto" w:frame="1"/>
        </w:rPr>
      </w:pPr>
    </w:p>
    <w:p w:rsidR="001277FE" w:rsidRDefault="001277FE" w:rsidP="001277FE">
      <w:pPr>
        <w:spacing w:after="0" w:line="240" w:lineRule="auto"/>
        <w:jc w:val="both"/>
        <w:rPr>
          <w:rFonts w:asciiTheme="minorBidi" w:hAnsiTheme="minorBidi"/>
          <w:b/>
          <w:bCs/>
          <w:i/>
          <w:iCs/>
          <w:u w:val="single"/>
          <w:bdr w:val="none" w:sz="0" w:space="0" w:color="auto" w:frame="1"/>
        </w:rPr>
      </w:pPr>
    </w:p>
    <w:p w:rsidR="001277FE" w:rsidRDefault="001277FE" w:rsidP="001277FE">
      <w:pPr>
        <w:spacing w:after="0" w:line="240" w:lineRule="auto"/>
        <w:jc w:val="both"/>
        <w:rPr>
          <w:rFonts w:asciiTheme="minorBidi" w:hAnsiTheme="minorBidi"/>
          <w:b/>
          <w:bCs/>
          <w:i/>
          <w:iCs/>
          <w:u w:val="single"/>
          <w:bdr w:val="none" w:sz="0" w:space="0" w:color="auto" w:frame="1"/>
        </w:rPr>
      </w:pPr>
      <w:r w:rsidRPr="001277FE">
        <w:rPr>
          <w:rFonts w:asciiTheme="minorBidi" w:hAnsiTheme="minorBidi"/>
          <w:b/>
          <w:bCs/>
          <w:i/>
          <w:iCs/>
          <w:u w:val="single"/>
          <w:bdr w:val="none" w:sz="0" w:space="0" w:color="auto" w:frame="1"/>
        </w:rPr>
        <w:t>Disclaimer</w:t>
      </w:r>
    </w:p>
    <w:p w:rsidR="001277FE" w:rsidRPr="001277FE" w:rsidRDefault="001277FE" w:rsidP="001277FE">
      <w:pPr>
        <w:spacing w:after="0" w:line="240" w:lineRule="auto"/>
        <w:jc w:val="both"/>
        <w:rPr>
          <w:rFonts w:asciiTheme="minorBidi" w:hAnsiTheme="minorBidi"/>
          <w:b/>
          <w:bCs/>
          <w:i/>
          <w:iCs/>
          <w:u w:val="single"/>
          <w:bdr w:val="none" w:sz="0" w:space="0" w:color="auto" w:frame="1"/>
        </w:rPr>
      </w:pPr>
    </w:p>
    <w:p w:rsidR="001277FE" w:rsidRPr="001277FE" w:rsidRDefault="001277FE" w:rsidP="001277FE">
      <w:pPr>
        <w:spacing w:after="0" w:line="240" w:lineRule="auto"/>
        <w:jc w:val="both"/>
        <w:rPr>
          <w:rFonts w:asciiTheme="minorBidi" w:hAnsiTheme="minorBidi"/>
          <w:sz w:val="18"/>
          <w:szCs w:val="18"/>
        </w:rPr>
      </w:pPr>
      <w:r w:rsidRPr="001277FE">
        <w:rPr>
          <w:rFonts w:asciiTheme="minorBidi" w:hAnsiTheme="minorBidi"/>
          <w:i/>
          <w:iCs/>
          <w:sz w:val="18"/>
          <w:szCs w:val="18"/>
        </w:rPr>
        <w:t>This checklist is provided </w:t>
      </w:r>
      <w:r w:rsidRPr="001277FE">
        <w:rPr>
          <w:rFonts w:asciiTheme="minorBidi" w:hAnsiTheme="minorBidi"/>
          <w:i/>
          <w:iCs/>
          <w:sz w:val="18"/>
          <w:szCs w:val="18"/>
          <w:u w:val="single"/>
        </w:rPr>
        <w:t>exclusively</w:t>
      </w:r>
      <w:r w:rsidRPr="001277FE">
        <w:rPr>
          <w:rFonts w:asciiTheme="minorBidi" w:hAnsiTheme="minorBidi"/>
          <w:i/>
          <w:iCs/>
          <w:sz w:val="18"/>
          <w:szCs w:val="18"/>
        </w:rPr>
        <w:t> for the use of members of the Institute of Chartered Accountants of Pakistan (ICAP) who intend to perform audits of financial statements. This checklist is purely indicative and for informational purposes only to assist members of ICAP in evaluating and gauging key areas relevant to the applicable professional standards under the Audit Practice Review &amp; Support Program (APRSP). It is </w:t>
      </w:r>
      <w:r w:rsidRPr="001277FE">
        <w:rPr>
          <w:rFonts w:asciiTheme="minorBidi" w:hAnsiTheme="minorBidi"/>
          <w:i/>
          <w:iCs/>
          <w:sz w:val="18"/>
          <w:szCs w:val="18"/>
          <w:u w:val="single"/>
        </w:rPr>
        <w:t>not</w:t>
      </w:r>
      <w:r w:rsidRPr="001277FE">
        <w:rPr>
          <w:rFonts w:asciiTheme="minorBidi" w:hAnsiTheme="minorBidi"/>
          <w:i/>
          <w:iCs/>
          <w:sz w:val="18"/>
          <w:szCs w:val="18"/>
        </w:rPr>
        <w:t> intended to be a comprehensive guide or handbook and must not be regarded or relied upon as a substitute for referring to the full text of the applicable laws, regulations, or professional standards, including but not limited to the International Standards on Accounting and Auditing.</w:t>
      </w:r>
    </w:p>
    <w:p w:rsidR="001277FE" w:rsidRPr="001277FE" w:rsidRDefault="001277FE" w:rsidP="001277FE">
      <w:pPr>
        <w:spacing w:after="0" w:line="240" w:lineRule="auto"/>
        <w:jc w:val="both"/>
        <w:rPr>
          <w:rFonts w:asciiTheme="minorBidi" w:hAnsiTheme="minorBidi"/>
          <w:sz w:val="18"/>
          <w:szCs w:val="18"/>
        </w:rPr>
      </w:pPr>
      <w:r w:rsidRPr="001277FE">
        <w:rPr>
          <w:rFonts w:asciiTheme="minorBidi" w:hAnsiTheme="minorBidi"/>
          <w:i/>
          <w:iCs/>
          <w:sz w:val="18"/>
          <w:szCs w:val="18"/>
        </w:rPr>
        <w:t> </w:t>
      </w:r>
    </w:p>
    <w:p w:rsidR="001277FE" w:rsidRPr="001277FE" w:rsidRDefault="001277FE" w:rsidP="001277FE">
      <w:pPr>
        <w:spacing w:after="0" w:line="240" w:lineRule="auto"/>
        <w:jc w:val="both"/>
        <w:rPr>
          <w:rFonts w:asciiTheme="minorBidi" w:hAnsiTheme="minorBidi"/>
          <w:sz w:val="18"/>
          <w:szCs w:val="18"/>
        </w:rPr>
      </w:pPr>
      <w:r w:rsidRPr="001277FE">
        <w:rPr>
          <w:rFonts w:asciiTheme="minorBidi" w:hAnsiTheme="minorBidi"/>
          <w:i/>
          <w:iCs/>
          <w:sz w:val="18"/>
          <w:szCs w:val="18"/>
        </w:rPr>
        <w:t>ICAP makes </w:t>
      </w:r>
      <w:r w:rsidRPr="001277FE">
        <w:rPr>
          <w:rFonts w:asciiTheme="minorBidi" w:hAnsiTheme="minorBidi"/>
          <w:i/>
          <w:iCs/>
          <w:sz w:val="18"/>
          <w:szCs w:val="18"/>
          <w:u w:val="single"/>
        </w:rPr>
        <w:t>no</w:t>
      </w:r>
      <w:r w:rsidRPr="001277FE">
        <w:rPr>
          <w:rFonts w:asciiTheme="minorBidi" w:hAnsiTheme="minorBidi"/>
          <w:i/>
          <w:iCs/>
          <w:sz w:val="18"/>
          <w:szCs w:val="18"/>
        </w:rPr>
        <w:t> representations, warranties, or undertakings of any kind, whether express or implied, including, without limitation, as to the accuracy, completeness, or fitness for any particular purpose of this checklist. ICAP accepts </w:t>
      </w:r>
      <w:r w:rsidRPr="001277FE">
        <w:rPr>
          <w:rFonts w:asciiTheme="minorBidi" w:hAnsiTheme="minorBidi"/>
          <w:i/>
          <w:iCs/>
          <w:sz w:val="18"/>
          <w:szCs w:val="18"/>
          <w:u w:val="single"/>
        </w:rPr>
        <w:t>no</w:t>
      </w:r>
      <w:r w:rsidRPr="001277FE">
        <w:rPr>
          <w:rFonts w:asciiTheme="minorBidi" w:hAnsiTheme="minorBidi"/>
          <w:i/>
          <w:iCs/>
          <w:sz w:val="18"/>
          <w:szCs w:val="18"/>
        </w:rPr>
        <w:t> responsibility or liability whatsoever for any loss, damage, or consequence arising, directly or indirectly, from the use of or reliance on this checklist, in whole or in part. Users (ICAP members) are required to exercise their own professional judgment and to consult the relevant legal and professional requirements themselves, including but not limited to the International Standards on Auditing, when addressing specific audit engagements.</w:t>
      </w:r>
    </w:p>
    <w:p w:rsidR="001277FE" w:rsidRPr="001277FE" w:rsidRDefault="001277FE" w:rsidP="001277FE">
      <w:pPr>
        <w:spacing w:after="0" w:line="240" w:lineRule="auto"/>
        <w:jc w:val="both"/>
        <w:rPr>
          <w:rFonts w:asciiTheme="minorBidi" w:hAnsiTheme="minorBidi"/>
          <w:sz w:val="18"/>
          <w:szCs w:val="18"/>
        </w:rPr>
      </w:pPr>
      <w:r w:rsidRPr="001277FE">
        <w:rPr>
          <w:rFonts w:asciiTheme="minorBidi" w:hAnsiTheme="minorBidi"/>
          <w:i/>
          <w:iCs/>
          <w:sz w:val="18"/>
          <w:szCs w:val="18"/>
        </w:rPr>
        <w:t> </w:t>
      </w:r>
    </w:p>
    <w:p w:rsidR="001277FE" w:rsidRPr="001277FE" w:rsidRDefault="001277FE" w:rsidP="001277FE">
      <w:pPr>
        <w:spacing w:after="0" w:line="240" w:lineRule="auto"/>
        <w:jc w:val="both"/>
        <w:rPr>
          <w:rFonts w:asciiTheme="minorBidi" w:hAnsiTheme="minorBidi"/>
          <w:sz w:val="18"/>
          <w:szCs w:val="18"/>
        </w:rPr>
      </w:pPr>
      <w:r w:rsidRPr="001277FE">
        <w:rPr>
          <w:rFonts w:asciiTheme="minorBidi" w:hAnsiTheme="minorBidi"/>
          <w:i/>
          <w:iCs/>
          <w:sz w:val="18"/>
          <w:szCs w:val="18"/>
        </w:rPr>
        <w:t>Each audit related assignment is likely to differ from the other, and therefore, ICAP members need to ensure that this checklist is at no time and under no circumstances whatsoever be treated as complete and final and all inclusive. This checklist only provides the broad parameters of key areas related to audit assignments, where the specific and peculiar circumstances of audit related arrangements need to be assessed by the member himself/herself based on which the user will need to develop his/her own checklist and focus areas. Reliance solely on the checklist is likely to give distorted and incomplete results for which the member will be solely responsible for and be deemed as non-compliant with the level of professionalism and diligence required and necessary to undertake a particular assignment.</w:t>
      </w:r>
    </w:p>
    <w:p w:rsidR="001277FE" w:rsidRPr="001277FE" w:rsidRDefault="001277FE" w:rsidP="001277FE">
      <w:pPr>
        <w:spacing w:after="0" w:line="240" w:lineRule="auto"/>
        <w:jc w:val="both"/>
        <w:rPr>
          <w:rFonts w:asciiTheme="minorBidi" w:eastAsiaTheme="majorEastAsia" w:hAnsiTheme="minorBidi"/>
          <w:color w:val="17365D" w:themeColor="text2" w:themeShade="BF"/>
          <w:spacing w:val="5"/>
          <w:kern w:val="28"/>
        </w:rPr>
      </w:pPr>
      <w:r w:rsidRPr="001277FE">
        <w:rPr>
          <w:rFonts w:asciiTheme="minorBidi" w:hAnsiTheme="minorBidi"/>
        </w:rPr>
        <w:br w:type="page"/>
      </w:r>
    </w:p>
    <w:p w:rsidR="0006045A" w:rsidRDefault="00D169C0" w:rsidP="00D169C0">
      <w:pPr>
        <w:pStyle w:val="Title"/>
        <w:spacing w:after="0"/>
        <w:ind w:right="-720"/>
      </w:pPr>
      <w:r>
        <w:t xml:space="preserve">Engagement </w:t>
      </w:r>
      <w:r w:rsidR="003C0A5F">
        <w:t xml:space="preserve">Review Checklist </w:t>
      </w:r>
    </w:p>
    <w:p w:rsidR="00BC08D8" w:rsidRDefault="00BC08D8" w:rsidP="00BC08D8">
      <w:pPr>
        <w:pStyle w:val="Heading1"/>
        <w:spacing w:before="0" w:line="240" w:lineRule="auto"/>
      </w:pPr>
    </w:p>
    <w:p w:rsidR="0006045A" w:rsidRDefault="003C0A5F" w:rsidP="00BC08D8">
      <w:pPr>
        <w:pStyle w:val="Heading1"/>
        <w:spacing w:before="0" w:line="240" w:lineRule="auto"/>
      </w:pPr>
      <w:r>
        <w:t>Engagement and Planning</w:t>
      </w:r>
    </w:p>
    <w:p w:rsidR="00A1350A" w:rsidRDefault="00A1350A" w:rsidP="00A1350A">
      <w:pPr>
        <w:pStyle w:val="ListBullet"/>
        <w:numPr>
          <w:ilvl w:val="0"/>
          <w:numId w:val="0"/>
        </w:numPr>
        <w:ind w:left="360"/>
      </w:pPr>
    </w:p>
    <w:tbl>
      <w:tblPr>
        <w:tblStyle w:val="GridTable4-Accent1"/>
        <w:tblW w:w="9360" w:type="dxa"/>
        <w:tblInd w:w="-5" w:type="dxa"/>
        <w:tblLook w:val="04A0" w:firstRow="1" w:lastRow="0" w:firstColumn="1" w:lastColumn="0" w:noHBand="0" w:noVBand="1"/>
      </w:tblPr>
      <w:tblGrid>
        <w:gridCol w:w="7920"/>
        <w:gridCol w:w="1440"/>
      </w:tblGrid>
      <w:tr w:rsidR="00D169C0" w:rsidTr="00D169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Default="00D169C0" w:rsidP="00A1350A">
            <w:pPr>
              <w:pStyle w:val="ListBullet"/>
              <w:numPr>
                <w:ilvl w:val="0"/>
                <w:numId w:val="0"/>
              </w:numPr>
            </w:pPr>
          </w:p>
        </w:tc>
        <w:tc>
          <w:tcPr>
            <w:tcW w:w="1440" w:type="dxa"/>
          </w:tcPr>
          <w:p w:rsidR="00D169C0" w:rsidRPr="00A1350A" w:rsidRDefault="00D169C0" w:rsidP="00A1350A">
            <w:pPr>
              <w:pStyle w:val="ListBullet"/>
              <w:numPr>
                <w:ilvl w:val="0"/>
                <w:numId w:val="0"/>
              </w:numPr>
              <w:jc w:val="center"/>
              <w:cnfStyle w:val="100000000000" w:firstRow="1" w:lastRow="0" w:firstColumn="0" w:lastColumn="0" w:oddVBand="0" w:evenVBand="0" w:oddHBand="0" w:evenHBand="0" w:firstRowFirstColumn="0" w:firstRowLastColumn="0" w:lastRowFirstColumn="0" w:lastRowLastColumn="0"/>
              <w:rPr>
                <w:b w:val="0"/>
              </w:rPr>
            </w:pPr>
            <w:r>
              <w:rPr>
                <w:b w:val="0"/>
              </w:rPr>
              <w:t>Yes/</w:t>
            </w:r>
            <w:r w:rsidRPr="00A1350A">
              <w:rPr>
                <w:b w:val="0"/>
              </w:rPr>
              <w:t>N</w:t>
            </w:r>
            <w:r>
              <w:rPr>
                <w:b w:val="0"/>
              </w:rPr>
              <w:t>o, N</w:t>
            </w:r>
            <w:r w:rsidRPr="00A1350A">
              <w:rPr>
                <w:b w:val="0"/>
              </w:rPr>
              <w:t>/A</w:t>
            </w:r>
          </w:p>
        </w:tc>
      </w:tr>
      <w:tr w:rsidR="00D169C0" w:rsidTr="00D16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jc w:val="both"/>
              <w:rPr>
                <w:b w:val="0"/>
              </w:rPr>
            </w:pPr>
            <w:r w:rsidRPr="00BC08D8">
              <w:rPr>
                <w:b w:val="0"/>
              </w:rPr>
              <w:t>For initial audit engagements has communication with the predecessor auditor been appropriately documented (for initial audit engagements) in accordance with ISA 510?</w:t>
            </w:r>
          </w:p>
        </w:tc>
        <w:tc>
          <w:tcPr>
            <w:tcW w:w="1440" w:type="dxa"/>
          </w:tcPr>
          <w:p w:rsidR="00D169C0"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r w:rsidR="00D169C0" w:rsidTr="00D169C0">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jc w:val="both"/>
              <w:rPr>
                <w:b w:val="0"/>
              </w:rPr>
            </w:pPr>
            <w:r w:rsidRPr="00BC08D8">
              <w:rPr>
                <w:b w:val="0"/>
              </w:rPr>
              <w:t>Is a duly signed and dated audit engagement letter available and documented as per ISA 210?</w:t>
            </w:r>
          </w:p>
        </w:tc>
        <w:tc>
          <w:tcPr>
            <w:tcW w:w="1440" w:type="dxa"/>
          </w:tcPr>
          <w:p w:rsidR="00D169C0" w:rsidRDefault="00D169C0" w:rsidP="009D4BA8">
            <w:pPr>
              <w:pStyle w:val="ListBullet"/>
              <w:numPr>
                <w:ilvl w:val="0"/>
                <w:numId w:val="0"/>
              </w:numPr>
              <w:jc w:val="center"/>
              <w:cnfStyle w:val="000000000000" w:firstRow="0" w:lastRow="0" w:firstColumn="0" w:lastColumn="0" w:oddVBand="0" w:evenVBand="0" w:oddHBand="0" w:evenHBand="0" w:firstRowFirstColumn="0" w:firstRowLastColumn="0" w:lastRowFirstColumn="0" w:lastRowLastColumn="0"/>
            </w:pPr>
          </w:p>
        </w:tc>
      </w:tr>
      <w:tr w:rsidR="00D169C0" w:rsidTr="00D16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Pr="001D222B" w:rsidRDefault="00D169C0" w:rsidP="001D7C88">
            <w:pPr>
              <w:pStyle w:val="ListBullet"/>
              <w:jc w:val="both"/>
              <w:rPr>
                <w:b w:val="0"/>
              </w:rPr>
            </w:pPr>
            <w:r w:rsidRPr="001D222B">
              <w:rPr>
                <w:b w:val="0"/>
              </w:rPr>
              <w:t xml:space="preserve">For </w:t>
            </w:r>
            <w:r w:rsidR="001D7C88" w:rsidRPr="001D222B">
              <w:rPr>
                <w:b w:val="0"/>
              </w:rPr>
              <w:t>initial audit engagements</w:t>
            </w:r>
            <w:r w:rsidRPr="001D222B">
              <w:rPr>
                <w:b w:val="0"/>
              </w:rPr>
              <w:t>, has sufficient and appropriate audit evidence been obtained regarding material opening balances as required by ISA 510?</w:t>
            </w:r>
          </w:p>
        </w:tc>
        <w:tc>
          <w:tcPr>
            <w:tcW w:w="1440" w:type="dxa"/>
          </w:tcPr>
          <w:p w:rsidR="00D169C0" w:rsidRPr="001D222B"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r w:rsidR="00D169C0" w:rsidTr="00D169C0">
        <w:tc>
          <w:tcPr>
            <w:cnfStyle w:val="001000000000" w:firstRow="0" w:lastRow="0" w:firstColumn="1" w:lastColumn="0" w:oddVBand="0" w:evenVBand="0" w:oddHBand="0" w:evenHBand="0" w:firstRowFirstColumn="0" w:firstRowLastColumn="0" w:lastRowFirstColumn="0" w:lastRowLastColumn="0"/>
            <w:tcW w:w="7920" w:type="dxa"/>
          </w:tcPr>
          <w:p w:rsidR="00D169C0" w:rsidRPr="001D222B" w:rsidRDefault="00D169C0" w:rsidP="00454FCD">
            <w:pPr>
              <w:pStyle w:val="ListBullet"/>
              <w:jc w:val="both"/>
              <w:rPr>
                <w:b w:val="0"/>
              </w:rPr>
            </w:pPr>
            <w:r w:rsidRPr="001D222B">
              <w:rPr>
                <w:b w:val="0"/>
              </w:rPr>
              <w:t>Whether materiality was adequately computed and documented as per requirements of ISA 320 and 230.</w:t>
            </w:r>
          </w:p>
        </w:tc>
        <w:tc>
          <w:tcPr>
            <w:tcW w:w="1440" w:type="dxa"/>
          </w:tcPr>
          <w:p w:rsidR="00D169C0" w:rsidRPr="001D222B" w:rsidRDefault="00D169C0" w:rsidP="009D4BA8">
            <w:pPr>
              <w:pStyle w:val="ListBullet"/>
              <w:numPr>
                <w:ilvl w:val="0"/>
                <w:numId w:val="0"/>
              </w:numPr>
              <w:jc w:val="center"/>
              <w:cnfStyle w:val="000000000000" w:firstRow="0" w:lastRow="0" w:firstColumn="0" w:lastColumn="0" w:oddVBand="0" w:evenVBand="0" w:oddHBand="0" w:evenHBand="0" w:firstRowFirstColumn="0" w:firstRowLastColumn="0" w:lastRowFirstColumn="0" w:lastRowLastColumn="0"/>
            </w:pPr>
          </w:p>
        </w:tc>
      </w:tr>
      <w:tr w:rsidR="00D169C0" w:rsidTr="00D169C0">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jc w:val="both"/>
              <w:rPr>
                <w:b w:val="0"/>
              </w:rPr>
            </w:pPr>
            <w:r w:rsidRPr="00BC08D8">
              <w:rPr>
                <w:b w:val="0"/>
              </w:rPr>
              <w:t>Check if the auditor was eligible to carry out the audit engagement under applicable professional standards.</w:t>
            </w:r>
          </w:p>
        </w:tc>
        <w:tc>
          <w:tcPr>
            <w:tcW w:w="1440" w:type="dxa"/>
          </w:tcPr>
          <w:p w:rsidR="00D169C0"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r w:rsidR="00E1327E" w:rsidTr="00D169C0">
        <w:trPr>
          <w:trHeight w:val="368"/>
        </w:trPr>
        <w:tc>
          <w:tcPr>
            <w:cnfStyle w:val="001000000000" w:firstRow="0" w:lastRow="0" w:firstColumn="1" w:lastColumn="0" w:oddVBand="0" w:evenVBand="0" w:oddHBand="0" w:evenHBand="0" w:firstRowFirstColumn="0" w:firstRowLastColumn="0" w:lastRowFirstColumn="0" w:lastRowLastColumn="0"/>
            <w:tcW w:w="7920" w:type="dxa"/>
          </w:tcPr>
          <w:p w:rsidR="00E1327E" w:rsidRPr="00BC08D8" w:rsidRDefault="00E1327E" w:rsidP="00454FCD">
            <w:pPr>
              <w:pStyle w:val="ListBullet"/>
              <w:jc w:val="both"/>
            </w:pPr>
            <w:r w:rsidRPr="00E1327E">
              <w:rPr>
                <w:b w:val="0"/>
              </w:rPr>
              <w:t>Audit planning documentation as per ISAs.</w:t>
            </w:r>
          </w:p>
        </w:tc>
        <w:tc>
          <w:tcPr>
            <w:tcW w:w="1440" w:type="dxa"/>
          </w:tcPr>
          <w:p w:rsidR="00E1327E" w:rsidRDefault="00E1327E" w:rsidP="009D4BA8">
            <w:pPr>
              <w:pStyle w:val="ListBullet"/>
              <w:numPr>
                <w:ilvl w:val="0"/>
                <w:numId w:val="0"/>
              </w:numPr>
              <w:jc w:val="center"/>
              <w:cnfStyle w:val="000000000000" w:firstRow="0" w:lastRow="0" w:firstColumn="0" w:lastColumn="0" w:oddVBand="0" w:evenVBand="0" w:oddHBand="0" w:evenHBand="0" w:firstRowFirstColumn="0" w:firstRowLastColumn="0" w:lastRowFirstColumn="0" w:lastRowLastColumn="0"/>
            </w:pPr>
          </w:p>
        </w:tc>
      </w:tr>
    </w:tbl>
    <w:p w:rsidR="00A1350A" w:rsidRDefault="00A1350A" w:rsidP="00A1350A">
      <w:pPr>
        <w:pStyle w:val="Heading1"/>
        <w:spacing w:before="0" w:line="240" w:lineRule="auto"/>
      </w:pPr>
    </w:p>
    <w:p w:rsidR="0006045A" w:rsidRDefault="003C0A5F" w:rsidP="00A1350A">
      <w:pPr>
        <w:pStyle w:val="Heading1"/>
        <w:spacing w:before="0" w:line="240" w:lineRule="auto"/>
      </w:pPr>
      <w:r>
        <w:t>Audit Evidence</w:t>
      </w:r>
      <w:r w:rsidR="006E32E5">
        <w:t xml:space="preserve"> and documentation</w:t>
      </w:r>
    </w:p>
    <w:p w:rsidR="00A1350A" w:rsidRDefault="00A1350A" w:rsidP="00A1350A">
      <w:pPr>
        <w:pStyle w:val="ListBullet"/>
        <w:numPr>
          <w:ilvl w:val="0"/>
          <w:numId w:val="0"/>
        </w:numPr>
        <w:ind w:left="360" w:hanging="360"/>
      </w:pPr>
    </w:p>
    <w:tbl>
      <w:tblPr>
        <w:tblStyle w:val="GridTable4-Accent1"/>
        <w:tblW w:w="9360" w:type="dxa"/>
        <w:tblInd w:w="-5" w:type="dxa"/>
        <w:tblLook w:val="04A0" w:firstRow="1" w:lastRow="0" w:firstColumn="1" w:lastColumn="0" w:noHBand="0" w:noVBand="1"/>
      </w:tblPr>
      <w:tblGrid>
        <w:gridCol w:w="7920"/>
        <w:gridCol w:w="1440"/>
      </w:tblGrid>
      <w:tr w:rsidR="00D169C0" w:rsidTr="00D169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Default="00D169C0" w:rsidP="00A1350A">
            <w:pPr>
              <w:pStyle w:val="ListBullet"/>
              <w:numPr>
                <w:ilvl w:val="0"/>
                <w:numId w:val="0"/>
              </w:numPr>
            </w:pPr>
          </w:p>
        </w:tc>
        <w:tc>
          <w:tcPr>
            <w:tcW w:w="1440" w:type="dxa"/>
          </w:tcPr>
          <w:p w:rsidR="00D169C0" w:rsidRPr="00A1350A" w:rsidRDefault="00D169C0" w:rsidP="00A1350A">
            <w:pPr>
              <w:pStyle w:val="ListBullet"/>
              <w:numPr>
                <w:ilvl w:val="0"/>
                <w:numId w:val="0"/>
              </w:numPr>
              <w:jc w:val="center"/>
              <w:cnfStyle w:val="100000000000" w:firstRow="1" w:lastRow="0" w:firstColumn="0" w:lastColumn="0" w:oddVBand="0" w:evenVBand="0" w:oddHBand="0" w:evenHBand="0" w:firstRowFirstColumn="0" w:firstRowLastColumn="0" w:lastRowFirstColumn="0" w:lastRowLastColumn="0"/>
              <w:rPr>
                <w:b w:val="0"/>
              </w:rPr>
            </w:pPr>
            <w:r>
              <w:rPr>
                <w:b w:val="0"/>
              </w:rPr>
              <w:t>Yes/</w:t>
            </w:r>
            <w:r w:rsidRPr="00A1350A">
              <w:rPr>
                <w:b w:val="0"/>
              </w:rPr>
              <w:t>N</w:t>
            </w:r>
            <w:r>
              <w:rPr>
                <w:b w:val="0"/>
              </w:rPr>
              <w:t>o, N</w:t>
            </w:r>
            <w:r w:rsidRPr="00A1350A">
              <w:rPr>
                <w:b w:val="0"/>
              </w:rPr>
              <w:t>/A</w:t>
            </w:r>
          </w:p>
        </w:tc>
      </w:tr>
      <w:tr w:rsidR="00D169C0" w:rsidTr="00D16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jc w:val="both"/>
              <w:rPr>
                <w:b w:val="0"/>
              </w:rPr>
            </w:pPr>
            <w:r w:rsidRPr="00BC08D8">
              <w:rPr>
                <w:b w:val="0"/>
              </w:rPr>
              <w:t>Does the audit opinion materially conform with ISA and Auditor’s Reporting Obligations Regulations, 2018, and is it supported by sufficient, appropriate audit evidence?</w:t>
            </w:r>
          </w:p>
        </w:tc>
        <w:tc>
          <w:tcPr>
            <w:tcW w:w="1440" w:type="dxa"/>
          </w:tcPr>
          <w:p w:rsidR="00D169C0"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r w:rsidR="00D169C0" w:rsidTr="00D169C0">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jc w:val="both"/>
              <w:rPr>
                <w:b w:val="0"/>
              </w:rPr>
            </w:pPr>
            <w:r w:rsidRPr="00BC08D8">
              <w:rPr>
                <w:b w:val="0"/>
              </w:rPr>
              <w:t>Is audit evidence available and properly documented for all material financial statement line items (ISA 500)?</w:t>
            </w:r>
          </w:p>
        </w:tc>
        <w:tc>
          <w:tcPr>
            <w:tcW w:w="1440" w:type="dxa"/>
          </w:tcPr>
          <w:p w:rsidR="00D169C0" w:rsidRDefault="00D169C0" w:rsidP="009D4BA8">
            <w:pPr>
              <w:pStyle w:val="ListBullet"/>
              <w:numPr>
                <w:ilvl w:val="0"/>
                <w:numId w:val="0"/>
              </w:numPr>
              <w:jc w:val="center"/>
              <w:cnfStyle w:val="000000000000" w:firstRow="0" w:lastRow="0" w:firstColumn="0" w:lastColumn="0" w:oddVBand="0" w:evenVBand="0" w:oddHBand="0" w:evenHBand="0" w:firstRowFirstColumn="0" w:firstRowLastColumn="0" w:lastRowFirstColumn="0" w:lastRowLastColumn="0"/>
            </w:pPr>
          </w:p>
        </w:tc>
      </w:tr>
      <w:tr w:rsidR="00D169C0" w:rsidTr="00D16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jc w:val="both"/>
              <w:rPr>
                <w:b w:val="0"/>
              </w:rPr>
            </w:pPr>
            <w:r w:rsidRPr="00BC08D8">
              <w:rPr>
                <w:b w:val="0"/>
              </w:rPr>
              <w:t>Whether all material financial statement line items been measured, recognized, and presented in accordance with applicable IFRS/IFRS for SMEs?</w:t>
            </w:r>
          </w:p>
        </w:tc>
        <w:tc>
          <w:tcPr>
            <w:tcW w:w="1440" w:type="dxa"/>
          </w:tcPr>
          <w:p w:rsidR="00D169C0"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r w:rsidR="00D169C0" w:rsidTr="00D169C0">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1D7C88" w:rsidP="001D7C88">
            <w:pPr>
              <w:pStyle w:val="ListBullet"/>
              <w:jc w:val="both"/>
              <w:rPr>
                <w:b w:val="0"/>
              </w:rPr>
            </w:pPr>
            <w:r>
              <w:rPr>
                <w:b w:val="0"/>
              </w:rPr>
              <w:t>If there is a significant doubt upon the company to continue as a</w:t>
            </w:r>
            <w:r w:rsidR="00D169C0" w:rsidRPr="00BC08D8">
              <w:rPr>
                <w:b w:val="0"/>
              </w:rPr>
              <w:t xml:space="preserve"> going concern </w:t>
            </w:r>
            <w:r>
              <w:rPr>
                <w:b w:val="0"/>
              </w:rPr>
              <w:t xml:space="preserve">that has </w:t>
            </w:r>
            <w:r w:rsidR="00D169C0" w:rsidRPr="00BC08D8">
              <w:rPr>
                <w:b w:val="0"/>
              </w:rPr>
              <w:t>been properly evaluated</w:t>
            </w:r>
            <w:r>
              <w:rPr>
                <w:b w:val="0"/>
                <w:lang w:val="en-GB"/>
              </w:rPr>
              <w:t>, mitigated</w:t>
            </w:r>
            <w:r w:rsidR="00D169C0" w:rsidRPr="00BC08D8">
              <w:rPr>
                <w:b w:val="0"/>
              </w:rPr>
              <w:t xml:space="preserve"> and documented (ISA 570)?</w:t>
            </w:r>
          </w:p>
        </w:tc>
        <w:tc>
          <w:tcPr>
            <w:tcW w:w="1440" w:type="dxa"/>
          </w:tcPr>
          <w:p w:rsidR="00D169C0" w:rsidRDefault="00D169C0" w:rsidP="009D4BA8">
            <w:pPr>
              <w:pStyle w:val="ListBullet"/>
              <w:numPr>
                <w:ilvl w:val="0"/>
                <w:numId w:val="0"/>
              </w:numPr>
              <w:jc w:val="center"/>
              <w:cnfStyle w:val="000000000000" w:firstRow="0" w:lastRow="0" w:firstColumn="0" w:lastColumn="0" w:oddVBand="0" w:evenVBand="0" w:oddHBand="0" w:evenHBand="0" w:firstRowFirstColumn="0" w:firstRowLastColumn="0" w:lastRowFirstColumn="0" w:lastRowLastColumn="0"/>
            </w:pPr>
          </w:p>
        </w:tc>
      </w:tr>
    </w:tbl>
    <w:p w:rsidR="00A1350A" w:rsidRDefault="00A1350A" w:rsidP="00BC08D8">
      <w:pPr>
        <w:pStyle w:val="Heading1"/>
        <w:spacing w:before="0" w:line="240" w:lineRule="auto"/>
      </w:pPr>
    </w:p>
    <w:p w:rsidR="0006045A" w:rsidRDefault="003C0A5F" w:rsidP="00BC08D8">
      <w:pPr>
        <w:pStyle w:val="Heading1"/>
        <w:spacing w:before="0" w:line="240" w:lineRule="auto"/>
      </w:pPr>
      <w:r>
        <w:t>Specific Accounting Areas</w:t>
      </w:r>
    </w:p>
    <w:p w:rsidR="0006045A" w:rsidRDefault="0006045A" w:rsidP="00BC08D8">
      <w:pPr>
        <w:pStyle w:val="ListBullet"/>
        <w:numPr>
          <w:ilvl w:val="0"/>
          <w:numId w:val="0"/>
        </w:numPr>
        <w:spacing w:after="0" w:line="240" w:lineRule="auto"/>
        <w:ind w:left="360" w:hanging="360"/>
        <w:rPr>
          <w:highlight w:val="yellow"/>
        </w:rPr>
      </w:pPr>
    </w:p>
    <w:tbl>
      <w:tblPr>
        <w:tblStyle w:val="GridTable4-Accent1"/>
        <w:tblW w:w="9360" w:type="dxa"/>
        <w:tblInd w:w="-5" w:type="dxa"/>
        <w:tblLook w:val="04A0" w:firstRow="1" w:lastRow="0" w:firstColumn="1" w:lastColumn="0" w:noHBand="0" w:noVBand="1"/>
      </w:tblPr>
      <w:tblGrid>
        <w:gridCol w:w="7920"/>
        <w:gridCol w:w="1440"/>
      </w:tblGrid>
      <w:tr w:rsidR="00D169C0" w:rsidTr="00D169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20" w:type="dxa"/>
          </w:tcPr>
          <w:p w:rsidR="00D169C0" w:rsidRDefault="00D169C0" w:rsidP="00A1350A">
            <w:pPr>
              <w:pStyle w:val="ListBullet"/>
              <w:numPr>
                <w:ilvl w:val="0"/>
                <w:numId w:val="0"/>
              </w:numPr>
              <w:rPr>
                <w:highlight w:val="yellow"/>
              </w:rPr>
            </w:pPr>
          </w:p>
        </w:tc>
        <w:tc>
          <w:tcPr>
            <w:tcW w:w="1440" w:type="dxa"/>
          </w:tcPr>
          <w:p w:rsidR="00D169C0" w:rsidRPr="00A1350A" w:rsidRDefault="00D169C0" w:rsidP="00A1350A">
            <w:pPr>
              <w:pStyle w:val="ListBullet"/>
              <w:numPr>
                <w:ilvl w:val="0"/>
                <w:numId w:val="0"/>
              </w:numPr>
              <w:jc w:val="center"/>
              <w:cnfStyle w:val="100000000000" w:firstRow="1" w:lastRow="0" w:firstColumn="0" w:lastColumn="0" w:oddVBand="0" w:evenVBand="0" w:oddHBand="0" w:evenHBand="0" w:firstRowFirstColumn="0" w:firstRowLastColumn="0" w:lastRowFirstColumn="0" w:lastRowLastColumn="0"/>
              <w:rPr>
                <w:b w:val="0"/>
              </w:rPr>
            </w:pPr>
            <w:r>
              <w:rPr>
                <w:b w:val="0"/>
              </w:rPr>
              <w:t>Yes/</w:t>
            </w:r>
            <w:r w:rsidRPr="00A1350A">
              <w:rPr>
                <w:b w:val="0"/>
              </w:rPr>
              <w:t>N</w:t>
            </w:r>
            <w:r>
              <w:rPr>
                <w:b w:val="0"/>
              </w:rPr>
              <w:t>o, N</w:t>
            </w:r>
            <w:r w:rsidRPr="00A1350A">
              <w:rPr>
                <w:b w:val="0"/>
              </w:rPr>
              <w:t>/A</w:t>
            </w:r>
          </w:p>
        </w:tc>
      </w:tr>
      <w:tr w:rsidR="00D169C0" w:rsidTr="00D16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rPr>
            </w:pPr>
            <w:r w:rsidRPr="00BC08D8">
              <w:rPr>
                <w:b w:val="0"/>
              </w:rPr>
              <w:t>Has deferred taxation been correctly recognized and disclosed (IAS 12 / IFRS for SMEs Section 29)?</w:t>
            </w:r>
          </w:p>
        </w:tc>
        <w:tc>
          <w:tcPr>
            <w:tcW w:w="1440" w:type="dxa"/>
          </w:tcPr>
          <w:p w:rsidR="00D169C0" w:rsidRPr="00227D29"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r w:rsidR="00D169C0" w:rsidTr="00D169C0">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rPr>
            </w:pPr>
            <w:r w:rsidRPr="00BC08D8">
              <w:rPr>
                <w:b w:val="0"/>
              </w:rPr>
              <w:t>Are retirement benefits (gratuity, provident fund, pension, etc.) properly accounted for in accordance with relevant Industrial and commercial establishments (standing orders) 1968?</w:t>
            </w:r>
          </w:p>
        </w:tc>
        <w:tc>
          <w:tcPr>
            <w:tcW w:w="1440" w:type="dxa"/>
          </w:tcPr>
          <w:p w:rsidR="00D169C0" w:rsidRPr="00227D29" w:rsidRDefault="00D169C0" w:rsidP="00227D29">
            <w:pPr>
              <w:pStyle w:val="ListBullet"/>
              <w:numPr>
                <w:ilvl w:val="0"/>
                <w:numId w:val="0"/>
              </w:numPr>
              <w:jc w:val="center"/>
              <w:cnfStyle w:val="000000000000" w:firstRow="0" w:lastRow="0" w:firstColumn="0" w:lastColumn="0" w:oddVBand="0" w:evenVBand="0" w:oddHBand="0" w:evenHBand="0" w:firstRowFirstColumn="0" w:firstRowLastColumn="0" w:lastRowFirstColumn="0" w:lastRowLastColumn="0"/>
            </w:pPr>
          </w:p>
        </w:tc>
      </w:tr>
      <w:tr w:rsidR="00D169C0" w:rsidTr="00D16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rPr>
            </w:pPr>
            <w:r w:rsidRPr="00BC08D8">
              <w:rPr>
                <w:b w:val="0"/>
              </w:rPr>
              <w:t>Where applicable, has Workers' Profit Participation Fund (WPPF) been correctly accounted for?</w:t>
            </w:r>
          </w:p>
        </w:tc>
        <w:tc>
          <w:tcPr>
            <w:tcW w:w="1440" w:type="dxa"/>
          </w:tcPr>
          <w:p w:rsidR="00D169C0" w:rsidRPr="00227D29"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r w:rsidR="00D169C0" w:rsidTr="00D169C0">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rPr>
            </w:pPr>
            <w:r w:rsidRPr="00BC08D8">
              <w:rPr>
                <w:b w:val="0"/>
              </w:rPr>
              <w:t>Is federal sales tax correctly accounted for on taxable supplies (Sales Tax Act, 1990)?</w:t>
            </w:r>
          </w:p>
        </w:tc>
        <w:tc>
          <w:tcPr>
            <w:tcW w:w="1440" w:type="dxa"/>
          </w:tcPr>
          <w:p w:rsidR="00D169C0" w:rsidRPr="00227D29" w:rsidRDefault="00D169C0" w:rsidP="009D4BA8">
            <w:pPr>
              <w:pStyle w:val="ListBullet"/>
              <w:numPr>
                <w:ilvl w:val="0"/>
                <w:numId w:val="0"/>
              </w:numPr>
              <w:jc w:val="center"/>
              <w:cnfStyle w:val="000000000000" w:firstRow="0" w:lastRow="0" w:firstColumn="0" w:lastColumn="0" w:oddVBand="0" w:evenVBand="0" w:oddHBand="0" w:evenHBand="0" w:firstRowFirstColumn="0" w:firstRowLastColumn="0" w:lastRowFirstColumn="0" w:lastRowLastColumn="0"/>
            </w:pPr>
          </w:p>
        </w:tc>
      </w:tr>
      <w:tr w:rsidR="00D169C0" w:rsidTr="00D16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rPr>
            </w:pPr>
            <w:r w:rsidRPr="00BC08D8">
              <w:rPr>
                <w:b w:val="0"/>
              </w:rPr>
              <w:t>Are relevant provincial sales taxes correctly accounted for services (e.g., PRA, SRB, KPRA)?</w:t>
            </w:r>
          </w:p>
        </w:tc>
        <w:tc>
          <w:tcPr>
            <w:tcW w:w="1440" w:type="dxa"/>
          </w:tcPr>
          <w:p w:rsidR="00D169C0" w:rsidRPr="00227D29"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r w:rsidR="00D169C0" w:rsidTr="00D169C0">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rPr>
            </w:pPr>
            <w:r w:rsidRPr="00BC08D8">
              <w:rPr>
                <w:b w:val="0"/>
              </w:rPr>
              <w:t>Has income tax expense been correctly accounted for in accordance with the Income Tax Ordinance, 2001?</w:t>
            </w:r>
          </w:p>
        </w:tc>
        <w:tc>
          <w:tcPr>
            <w:tcW w:w="1440" w:type="dxa"/>
          </w:tcPr>
          <w:p w:rsidR="00D169C0" w:rsidRPr="00227D29" w:rsidRDefault="00D169C0" w:rsidP="009D4BA8">
            <w:pPr>
              <w:pStyle w:val="ListBullet"/>
              <w:numPr>
                <w:ilvl w:val="0"/>
                <w:numId w:val="0"/>
              </w:numPr>
              <w:jc w:val="center"/>
              <w:cnfStyle w:val="000000000000" w:firstRow="0" w:lastRow="0" w:firstColumn="0" w:lastColumn="0" w:oddVBand="0" w:evenVBand="0" w:oddHBand="0" w:evenHBand="0" w:firstRowFirstColumn="0" w:firstRowLastColumn="0" w:lastRowFirstColumn="0" w:lastRowLastColumn="0"/>
            </w:pPr>
          </w:p>
        </w:tc>
      </w:tr>
      <w:tr w:rsidR="00D169C0" w:rsidTr="00D16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rPr>
            </w:pPr>
            <w:r w:rsidRPr="00BC08D8">
              <w:rPr>
                <w:b w:val="0"/>
              </w:rPr>
              <w:t>Whether super tax is applicable, and if so, whether it has been correctly computed and accounted for in accordance with the relevant tax laws?</w:t>
            </w:r>
          </w:p>
        </w:tc>
        <w:tc>
          <w:tcPr>
            <w:tcW w:w="1440" w:type="dxa"/>
          </w:tcPr>
          <w:p w:rsidR="00D169C0" w:rsidRPr="00227D29"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r w:rsidR="00D169C0" w:rsidTr="00D169C0">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rFonts w:ascii="Arial" w:hAnsi="Arial" w:cs="Arial"/>
                <w:b w:val="0"/>
              </w:rPr>
            </w:pPr>
            <w:r w:rsidRPr="00BC08D8">
              <w:rPr>
                <w:b w:val="0"/>
              </w:rPr>
              <w:t>Check if levy under IFRIC 21 applicable and its impact on deferred taxation.</w:t>
            </w:r>
          </w:p>
        </w:tc>
        <w:tc>
          <w:tcPr>
            <w:tcW w:w="1440" w:type="dxa"/>
          </w:tcPr>
          <w:p w:rsidR="00D169C0" w:rsidRPr="00227D29" w:rsidRDefault="00D169C0" w:rsidP="00B643BD">
            <w:pPr>
              <w:pStyle w:val="ListBullet"/>
              <w:numPr>
                <w:ilvl w:val="0"/>
                <w:numId w:val="0"/>
              </w:numPr>
              <w:jc w:val="center"/>
              <w:cnfStyle w:val="000000000000" w:firstRow="0" w:lastRow="0" w:firstColumn="0" w:lastColumn="0" w:oddVBand="0" w:evenVBand="0" w:oddHBand="0" w:evenHBand="0" w:firstRowFirstColumn="0" w:firstRowLastColumn="0" w:lastRowFirstColumn="0" w:lastRowLastColumn="0"/>
            </w:pPr>
          </w:p>
        </w:tc>
      </w:tr>
      <w:tr w:rsidR="00D169C0" w:rsidTr="00D16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rPr>
            </w:pPr>
            <w:r w:rsidRPr="00BC08D8">
              <w:rPr>
                <w:b w:val="0"/>
              </w:rPr>
              <w:t>For Property, Plant, and Equipment (PPE) recorded on a revalued basis, is there sufficient evidence that the valuation is not materially different from fair value (IAS 16)?</w:t>
            </w:r>
          </w:p>
        </w:tc>
        <w:tc>
          <w:tcPr>
            <w:tcW w:w="1440" w:type="dxa"/>
          </w:tcPr>
          <w:p w:rsidR="00D169C0" w:rsidRPr="00227D29"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r w:rsidR="00D169C0" w:rsidTr="00D169C0">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rPr>
            </w:pPr>
            <w:r w:rsidRPr="00BC08D8">
              <w:rPr>
                <w:b w:val="0"/>
              </w:rPr>
              <w:t>Where applicable, have right-of-use assets and lease liabilities been properly recognized and measured in accordance with IFRS 16?</w:t>
            </w:r>
          </w:p>
        </w:tc>
        <w:tc>
          <w:tcPr>
            <w:tcW w:w="1440" w:type="dxa"/>
          </w:tcPr>
          <w:p w:rsidR="00D169C0" w:rsidRPr="00227D29" w:rsidRDefault="00D169C0" w:rsidP="009D4BA8">
            <w:pPr>
              <w:pStyle w:val="ListBullet"/>
              <w:numPr>
                <w:ilvl w:val="0"/>
                <w:numId w:val="0"/>
              </w:numPr>
              <w:jc w:val="center"/>
              <w:cnfStyle w:val="000000000000" w:firstRow="0" w:lastRow="0" w:firstColumn="0" w:lastColumn="0" w:oddVBand="0" w:evenVBand="0" w:oddHBand="0" w:evenHBand="0" w:firstRowFirstColumn="0" w:firstRowLastColumn="0" w:lastRowFirstColumn="0" w:lastRowLastColumn="0"/>
            </w:pPr>
          </w:p>
        </w:tc>
      </w:tr>
      <w:tr w:rsidR="00D169C0" w:rsidTr="00D16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rPr>
            </w:pPr>
            <w:r w:rsidRPr="00BC08D8">
              <w:rPr>
                <w:b w:val="0"/>
              </w:rPr>
              <w:t>In case of a group, have consolidated financial statements been prepared, and have the financial statements of subsidiaries been audited and properly consolidated (IFRS 10 / ISA 600)?</w:t>
            </w:r>
          </w:p>
        </w:tc>
        <w:tc>
          <w:tcPr>
            <w:tcW w:w="1440" w:type="dxa"/>
          </w:tcPr>
          <w:p w:rsidR="00D169C0" w:rsidRPr="00227D29"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r w:rsidR="00D169C0" w:rsidTr="00D169C0">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rPr>
            </w:pPr>
            <w:r w:rsidRPr="00BC08D8">
              <w:rPr>
                <w:b w:val="0"/>
              </w:rPr>
              <w:t>Is a signed management representation letter available in the working papers as per ISA 580?</w:t>
            </w:r>
          </w:p>
        </w:tc>
        <w:tc>
          <w:tcPr>
            <w:tcW w:w="1440" w:type="dxa"/>
          </w:tcPr>
          <w:p w:rsidR="00D169C0" w:rsidRPr="00227D29" w:rsidRDefault="00D169C0" w:rsidP="009D4BA8">
            <w:pPr>
              <w:pStyle w:val="ListBullet"/>
              <w:numPr>
                <w:ilvl w:val="0"/>
                <w:numId w:val="0"/>
              </w:numPr>
              <w:jc w:val="center"/>
              <w:cnfStyle w:val="000000000000" w:firstRow="0" w:lastRow="0" w:firstColumn="0" w:lastColumn="0" w:oddVBand="0" w:evenVBand="0" w:oddHBand="0" w:evenHBand="0" w:firstRowFirstColumn="0" w:firstRowLastColumn="0" w:lastRowFirstColumn="0" w:lastRowLastColumn="0"/>
            </w:pPr>
          </w:p>
        </w:tc>
      </w:tr>
      <w:tr w:rsidR="00D169C0" w:rsidTr="00D16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tcPr>
          <w:p w:rsidR="00D169C0" w:rsidRPr="00BC08D8" w:rsidRDefault="00D169C0" w:rsidP="00454FCD">
            <w:pPr>
              <w:pStyle w:val="ListBullet"/>
              <w:numPr>
                <w:ilvl w:val="0"/>
                <w:numId w:val="12"/>
              </w:numPr>
              <w:jc w:val="both"/>
              <w:rPr>
                <w:b w:val="0"/>
                <w:lang w:val="en-GB"/>
              </w:rPr>
            </w:pPr>
            <w:r w:rsidRPr="00BC08D8">
              <w:rPr>
                <w:b w:val="0"/>
                <w:lang w:val="en-GB"/>
              </w:rPr>
              <w:t xml:space="preserve">16. </w:t>
            </w:r>
            <w:r w:rsidRPr="00BC08D8">
              <w:rPr>
                <w:b w:val="0"/>
              </w:rPr>
              <w:t>Whether the UDIN (Unique Document Identification Number) is verifiable through the ICAP UDIN verification portal?</w:t>
            </w:r>
          </w:p>
        </w:tc>
        <w:tc>
          <w:tcPr>
            <w:tcW w:w="1440" w:type="dxa"/>
          </w:tcPr>
          <w:p w:rsidR="00D169C0" w:rsidRPr="00227D29" w:rsidRDefault="00D169C0" w:rsidP="009D4BA8">
            <w:pPr>
              <w:pStyle w:val="ListBullet"/>
              <w:numPr>
                <w:ilvl w:val="0"/>
                <w:numId w:val="0"/>
              </w:numPr>
              <w:jc w:val="center"/>
              <w:cnfStyle w:val="000000100000" w:firstRow="0" w:lastRow="0" w:firstColumn="0" w:lastColumn="0" w:oddVBand="0" w:evenVBand="0" w:oddHBand="1" w:evenHBand="0" w:firstRowFirstColumn="0" w:firstRowLastColumn="0" w:lastRowFirstColumn="0" w:lastRowLastColumn="0"/>
            </w:pPr>
          </w:p>
        </w:tc>
      </w:tr>
    </w:tbl>
    <w:p w:rsidR="00A1350A" w:rsidRPr="00E3338D" w:rsidRDefault="00A1350A" w:rsidP="002D4B12">
      <w:pPr>
        <w:pStyle w:val="ListBullet"/>
        <w:numPr>
          <w:ilvl w:val="0"/>
          <w:numId w:val="0"/>
        </w:numPr>
        <w:rPr>
          <w:highlight w:val="yellow"/>
        </w:rPr>
      </w:pPr>
    </w:p>
    <w:sectPr w:rsidR="00A1350A" w:rsidRPr="00E3338D" w:rsidSect="001277FE">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540094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38F6F52"/>
    <w:multiLevelType w:val="hybridMultilevel"/>
    <w:tmpl w:val="CA6C0F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84E669E"/>
    <w:multiLevelType w:val="hybridMultilevel"/>
    <w:tmpl w:val="17C066C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ACB6F37"/>
    <w:multiLevelType w:val="hybridMultilevel"/>
    <w:tmpl w:val="BC825E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45A"/>
    <w:rsid w:val="0006063C"/>
    <w:rsid w:val="001277FE"/>
    <w:rsid w:val="0015074B"/>
    <w:rsid w:val="001D0C87"/>
    <w:rsid w:val="001D222B"/>
    <w:rsid w:val="001D7C88"/>
    <w:rsid w:val="00227D29"/>
    <w:rsid w:val="00292685"/>
    <w:rsid w:val="0029639D"/>
    <w:rsid w:val="002D4B12"/>
    <w:rsid w:val="00326F90"/>
    <w:rsid w:val="003C0A5F"/>
    <w:rsid w:val="00454FCD"/>
    <w:rsid w:val="004D1248"/>
    <w:rsid w:val="006174A8"/>
    <w:rsid w:val="00635592"/>
    <w:rsid w:val="006A6EF7"/>
    <w:rsid w:val="006E32E5"/>
    <w:rsid w:val="00734C8A"/>
    <w:rsid w:val="007E501E"/>
    <w:rsid w:val="008724BA"/>
    <w:rsid w:val="00893F79"/>
    <w:rsid w:val="009D4BA8"/>
    <w:rsid w:val="00A1350A"/>
    <w:rsid w:val="00A94DF8"/>
    <w:rsid w:val="00AA1D8D"/>
    <w:rsid w:val="00AD6B9C"/>
    <w:rsid w:val="00B47730"/>
    <w:rsid w:val="00B55A73"/>
    <w:rsid w:val="00B643BD"/>
    <w:rsid w:val="00BC08D8"/>
    <w:rsid w:val="00C264DB"/>
    <w:rsid w:val="00CB0664"/>
    <w:rsid w:val="00D169C0"/>
    <w:rsid w:val="00DB6271"/>
    <w:rsid w:val="00E1327E"/>
    <w:rsid w:val="00E13F27"/>
    <w:rsid w:val="00E3338D"/>
    <w:rsid w:val="00ED45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33D6FC"/>
  <w14:defaultImageDpi w14:val="300"/>
  <w15:docId w15:val="{676E303E-7671-4DDA-812A-5DA8A76A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4-Accent1">
    <w:name w:val="Grid Table 4 Accent 1"/>
    <w:basedOn w:val="TableNormal"/>
    <w:uiPriority w:val="49"/>
    <w:rsid w:val="00BC08D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1BB65692A7B64AAE59183DB93FFB6B" ma:contentTypeVersion="11" ma:contentTypeDescription="Create a new document." ma:contentTypeScope="" ma:versionID="ae4a4d8597f763ea208c8c7ff7dd0316">
  <xsd:schema xmlns:xsd="http://www.w3.org/2001/XMLSchema" xmlns:xs="http://www.w3.org/2001/XMLSchema" xmlns:p="http://schemas.microsoft.com/office/2006/metadata/properties" xmlns:ns3="87a3bf8e-c598-4742-92bf-3b9b85d4143d" targetNamespace="http://schemas.microsoft.com/office/2006/metadata/properties" ma:root="true" ma:fieldsID="4649bc1de5a6362e313215b2bdda5973" ns3:_="">
    <xsd:import namespace="87a3bf8e-c598-4742-92bf-3b9b85d4143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3bf8e-c598-4742-92bf-3b9b85d41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7a3bf8e-c598-4742-92bf-3b9b85d4143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F1C4B-F702-4DC8-9CDC-D5E41BDB1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3bf8e-c598-4742-92bf-3b9b85d41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3FD106-662C-4E3F-A674-2DE241F1ADC2}">
  <ds:schemaRefs>
    <ds:schemaRef ds:uri="http://schemas.microsoft.com/sharepoint/v3/contenttype/forms"/>
  </ds:schemaRefs>
</ds:datastoreItem>
</file>

<file path=customXml/itemProps3.xml><?xml version="1.0" encoding="utf-8"?>
<ds:datastoreItem xmlns:ds="http://schemas.openxmlformats.org/officeDocument/2006/customXml" ds:itemID="{A83F65BE-1B55-4F7D-B530-0F87220492D1}">
  <ds:schemaRefs>
    <ds:schemaRef ds:uri="http://schemas.microsoft.com/office/2006/metadata/properties"/>
    <ds:schemaRef ds:uri="http://schemas.microsoft.com/office/infopath/2007/PartnerControls"/>
    <ds:schemaRef ds:uri="87a3bf8e-c598-4742-92bf-3b9b85d4143d"/>
  </ds:schemaRefs>
</ds:datastoreItem>
</file>

<file path=customXml/itemProps4.xml><?xml version="1.0" encoding="utf-8"?>
<ds:datastoreItem xmlns:ds="http://schemas.openxmlformats.org/officeDocument/2006/customXml" ds:itemID="{03455244-98F6-4C6E-967B-A909590C2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Hassan Ali</cp:lastModifiedBy>
  <cp:revision>2</cp:revision>
  <dcterms:created xsi:type="dcterms:W3CDTF">2025-09-01T10:08:00Z</dcterms:created>
  <dcterms:modified xsi:type="dcterms:W3CDTF">2025-09-01T10:08:00Z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0x010100F41BB65692A7B64AAE59183DB93FFB6B</vt:lpwstr>
  </property>
</Properties>
</file>